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105</w:t>
      </w:r>
    </w:p>
    <w:p>
      <w:r>
        <w:t>Bundesgericht (BGE), 1966-05-27, DE</w:t>
      </w:r>
    </w:p>
    <w:p>
      <w:r>
        <w:rPr>
          <w:b/>
        </w:rPr>
        <w:t xml:space="preserve">Quelle: </w:t>
      </w:r>
      <w:r>
        <w:t>https://mcp.opencaselaw.ch/entscheid/bge_92 IV 105</w:t>
      </w:r>
    </w:p>
    <w:p>
      <w:r>
        <w:t>FR: ATF 92 IV 105</w:t>
      </w:r>
    </w:p>
    <w:p>
      <w:r>
        <w:t>IT: DTF 92 IV 105</w:t>
      </w:r>
    </w:p>
    <w:p>
      <w:pPr>
        <w:pStyle w:val="Heading2"/>
      </w:pPr>
      <w:r>
        <w:t>Regeste</w:t>
      </w:r>
    </w:p>
    <w:p>
      <w:r>
        <w:t>Regeste Art. 35 Abs. 2 und 90 Ziff. 2 SVG. Der Autofahrer, der unbekümmert darum, dass er andere Fahrzeuge ernstlich gefährdet, überholt, macht sich einer groben Verletzung der Verkehrsregeln schuldig.</w:t>
      </w:r>
    </w:p>
    <w:p>
      <w:pPr>
        <w:pStyle w:val="Heading2"/>
      </w:pPr>
      <w:r>
        <w:t>Erwägungen</w:t>
      </w:r>
    </w:p>
    <w:p>
      <w:r>
        <w:rPr>
          <w:b/>
        </w:rPr>
        <w:t>E. 2</w:t>
      </w:r>
    </w:p>
    <w:p>
      <w:r>
        <w:t>(Gekürzt.) Art. 35 Abs. 2 SVG hat der Beschwerdeführer schon dadurch verletzt, dass er sich vor dem Überholen nicht pflichtgemäss vergewisserte, ob die dazu notwendige Strecke frei sei. Obschon Raths vor Beginn des Überholens die Strasse angeblich über 400 m weit überblicken konnte, übersah er den entgegenkommenden Wagen; er gewahrte ihn erst, als er auf der Höhe des zu überholenden Fahrzeugs angelangt und vom entgegenkommenden nur noch etwa 220 m entfernt war. Pflichtwidrig war es sodann, nach der Wahrnehmung des entgegenkommenden Wagens, der sich ihm mit 60-70 km/Std näherte, mit dem Überholen fortzufahren. Der Beschwerdeführer meint zwar, dass der offene Zwischenraum auch dann noch ausgereicht habe, um das Unternehmen fortsetzen und ordnungsgemäss wieder einbiegen zu können. Die Vorinstanz stellt jedoch fest, dass es unweigerlich zu einem frontalen Zusammenstoss gekommen wäre, wenn De Chesne seinen Wagen nicht stark abgebremst und der Angeklagte nicht brüsk nach rechts gehalten hätte. Sie hält zudem für erwiesen, dass daraufhin auch Frau Lichtensteiger die Fahrt sofort verlangsamen musste, um einen Unfall zu vermeiden. Daraus geht deutlich hervor, dass der nötige Raum zum Überholen fehlte. Dasselbe folgt aus den eigenen Aussagen des Beschwerdeführers, gab er doch während der Untersuchung wiederholt zu, dass er angesichts des entgegenkommenden Fahrzeuges die Geschwindigkeit forcieren, d.h. äusserst beschleunigen musste, um noch vor der Durchfahrt De Chesnes die Lücke zwischen den beiden vorausfahrenden Wagen erreichen zu können.</w:t>
      </w:r>
    </w:p>
    <w:p>
      <w:r>
        <w:rPr>
          <w:b/>
        </w:rPr>
        <w:t>E. 5</w:t>
      </w:r>
    </w:p>
    <w:p>
      <w:r>
        <w:t>Der Beschwerdeführer macht geltend, dass seine Handlungsweise auf jeden Fall nicht als grobe Verletzung von Verkehrsregeln im Sinne von Art. 90 Ziff. 2 SVG gewürdigt werden könne. Er verkennt, dass er Art. 35 Abs. 2 SVG in mehrfacher Hinsicht gröblich missachtet und dadurch sowohl den entgegenkommenden wie den überholten Personenwagen erheblich BGE 92 IV 105 S. 107 gefährdet hat. Raths bekümmerte sich weder zu Beginn des Manövers noch im Zeitpunkt, als er das entgegenkommende Fahrzeug erblickte, gewissenhaft darum, ob er ohne Behinderung und Gefährdung anderer überholen könne. Um eines schnöden Zeitgewinnes willen - Raths hatte es zugegebenermassen eilig - liess er von seinem Unternehmen selbst dann nicht ab, als er die Gefahr erkannte; er steigerte vielmehr die Geschwindigkeit noch weiter und überliess es den Gefährdeten, wie sie dem drohenden Unglück ausweichen wollten. Solch verwegenes und unverantwortliches Gebaren, das immer wieder zu schweren Unfällen führt, lässt sich nicht damit verharmlosen, dass selbst einem erprobten Automobilisten derartige Fehlbeurteilungen unterlaufen könnten. Es stellt im Gegenteil eine grobe Unbekümmertheit um wichtige Verkehrsverpflichtungen dar, der auch dann, wenn die Gefahr dank sofortiger Vorkehren Dritter, wie hier, glimpflich verläuft, mit aller Strenge entgegenzutreten ist. Der Beschwerdeführer ist deshalb mit Recht nach Art. 90 Ziff. 2 SVG bestraft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